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13"/>
        <w:gridCol w:w="4513"/>
      </w:tblGrid>
      <w:tr>
        <w:tc>
          <w:tcPr>
            <w:tcW w:type="dxa" w:w="45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45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  <w:jc w:val="left"/>
            </w:pPr>
            <w:r>
              <w:rPr>
                <w:rFonts w:ascii="Times New Roman" w:cs="Times New Roman" w:eastAsia="Times New Roman" w:hAnsi="Times New Roman"/>
                <w:i/>
                <w:iCs/>
                <w:color w:val="999999"/>
                <w:sz w:val="24"/>
                <w:szCs w:val="24"/>
              </w:rPr>
              <w:t xml:space="preserve">[Должность руководителя]</w:t>
            </w:r>
          </w:p>
          <w:p>
            <w:pPr>
              <w:spacing w:after="60"/>
              <w:jc w:val="left"/>
            </w:pPr>
            <w:r>
              <w:rPr>
                <w:rFonts w:ascii="Times New Roman" w:cs="Times New Roman" w:eastAsia="Times New Roman" w:hAnsi="Times New Roman"/>
                <w:i/>
                <w:iCs/>
                <w:color w:val="999999"/>
                <w:sz w:val="24"/>
                <w:szCs w:val="24"/>
              </w:rPr>
              <w:t xml:space="preserve">[Название компании]</w:t>
            </w:r>
          </w:p>
          <w:p>
            <w:pPr>
              <w:spacing w:after="60"/>
              <w:jc w:val="left"/>
            </w:pPr>
            <w:r>
              <w:rPr>
                <w:rFonts w:ascii="Times New Roman" w:cs="Times New Roman" w:eastAsia="Times New Roman" w:hAnsi="Times New Roman"/>
                <w:i/>
                <w:iCs/>
                <w:color w:val="999999"/>
                <w:sz w:val="24"/>
                <w:szCs w:val="24"/>
              </w:rPr>
              <w:t xml:space="preserve">[ФИО руководителя]</w:t>
            </w:r>
          </w:p>
        </w:tc>
      </w:tr>
    </w:tbl>
    <w:p>
      <w:pPr>
        <w:spacing w:after="300"/>
      </w:pPr>
    </w:p>
    <w:p>
      <w:pPr>
        <w:spacing w:after="60"/>
        <w:jc w:val="center"/>
      </w:pPr>
      <w:r>
        <w:rPr>
          <w:rFonts w:ascii="Times New Roman" w:cs="Times New Roman" w:eastAsia="Times New Roman" w:hAnsi="Times New Roman"/>
          <w:b/>
          <w:bCs/>
          <w:color w:val="1A1A1A"/>
          <w:sz w:val="28"/>
          <w:szCs w:val="28"/>
        </w:rPr>
        <w:t xml:space="preserve">СЛУЖЕБНАЯ ЗАПИСКА</w:t>
      </w:r>
    </w:p>
    <w:p>
      <w:pPr>
        <w:spacing w:after="300"/>
        <w:jc w:val="center"/>
      </w:pPr>
      <w:r>
        <w:rPr>
          <w:rFonts w:ascii="Times New Roman" w:cs="Times New Roman" w:eastAsia="Times New Roman" w:hAnsi="Times New Roman"/>
          <w:i/>
          <w:iCs/>
          <w:color w:val="999999"/>
          <w:sz w:val="24"/>
          <w:szCs w:val="24"/>
        </w:rPr>
        <w:t xml:space="preserve">[дата]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                   </w:t>
      </w:r>
      <w:r>
        <w:rPr>
          <w:rFonts w:ascii="Times New Roman" w:cs="Times New Roman" w:eastAsia="Times New Roman" w:hAnsi="Times New Roman"/>
          <w:i/>
          <w:iCs/>
          <w:color w:val="999999"/>
          <w:sz w:val="24"/>
          <w:szCs w:val="24"/>
        </w:rPr>
        <w:t xml:space="preserve">[номер]</w:t>
      </w:r>
    </w:p>
    <w:p>
      <w:pPr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color w:val="1A1A1A"/>
          <w:sz w:val="24"/>
          <w:szCs w:val="24"/>
        </w:rPr>
        <w:t xml:space="preserve">О направлении на обучение по программе CISO 8.0 (Код ИБ АКАДЕМИЯ)</w:t>
      </w:r>
    </w:p>
    <w:p>
      <w:pPr>
        <w:spacing w:after="140" w:line="340"/>
        <w:ind w:firstLine="72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1A1A1A"/>
          <w:sz w:val="24"/>
          <w:szCs w:val="24"/>
        </w:rPr>
        <w:t xml:space="preserve">Уважаемый(ая) 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color w:val="999999"/>
          <w:sz w:val="24"/>
          <w:szCs w:val="24"/>
        </w:rPr>
        <w:t xml:space="preserve">[Имя Отчество]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1A1A1A"/>
          <w:sz w:val="24"/>
          <w:szCs w:val="24"/>
        </w:rPr>
        <w:t xml:space="preserve">,</w:t>
      </w:r>
    </w:p>
    <w:p>
      <w:pPr>
        <w:spacing w:after="140" w:line="340"/>
        <w:ind w:firstLine="72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1A1A1A"/>
          <w:sz w:val="24"/>
          <w:szCs w:val="24"/>
        </w:rPr>
        <w:t xml:space="preserve">Прошу рассмотреть возможность направления на профессиональное обучение по годовой программе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color w:val="1A1A1A"/>
          <w:sz w:val="24"/>
          <w:szCs w:val="24"/>
        </w:rPr>
        <w:t xml:space="preserve">CISO 8.0: Управление безопасностью в эпоху ИИ и персональной ответственности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1A1A1A"/>
          <w:sz w:val="24"/>
          <w:szCs w:val="24"/>
        </w:rPr>
        <w:t xml:space="preserve"> (организатор — Код ИБ АКАДЕМИЯ, лицензированная образовательная деятельность).</w:t>
      </w:r>
    </w:p>
    <w:p>
      <w:pPr>
        <w:spacing w:after="100"/>
      </w:pPr>
    </w:p>
    <w:p>
      <w:pPr>
        <w:spacing w:after="140" w:line="340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color w:val="1A1A1A"/>
          <w:sz w:val="24"/>
          <w:szCs w:val="24"/>
        </w:rPr>
        <w:t xml:space="preserve">Обоснование необходимости обучения:</w:t>
      </w:r>
    </w:p>
    <w:p>
      <w:pPr>
        <w:spacing w:after="140" w:line="340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color w:val="1A1A1A"/>
          <w:sz w:val="24"/>
          <w:szCs w:val="24"/>
        </w:rPr>
        <w:t xml:space="preserve">1. Регуляторные требования.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1A1A1A"/>
          <w:sz w:val="24"/>
          <w:szCs w:val="24"/>
        </w:rPr>
        <w:t xml:space="preserve">С 30 мая 2025 года вступили в силу оборотные штрафы за утечку персональных данных — до 500 млн руб. (1–3% выручки). Указ Президента №250 устанавливает требования к квалификации заместителя руководителя, ответственного за информационную безопасность. Программа CISO 8.0 (128 академических часов с удостоверениями установленного образца) является значимым вкладом в выполнение данных требований.</w:t>
      </w:r>
    </w:p>
    <w:p>
      <w:pPr>
        <w:spacing w:after="140" w:line="340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color w:val="1A1A1A"/>
          <w:sz w:val="24"/>
          <w:szCs w:val="24"/>
        </w:rPr>
        <w:t xml:space="preserve">2. Актуальные угрозы.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1A1A1A"/>
          <w:sz w:val="24"/>
          <w:szCs w:val="24"/>
        </w:rPr>
        <w:t xml:space="preserve">По данным Cisco (2025), 86% руководителей ИБ уже столкнулись с инцидентами, связанными с использованием ИИ, при этом лишь 4% организаций имеют адекватную защиту. Программа включает модули по AI Security, реагированию на ИИ-атаки, управлению рисками третьих сторон и кризисному менеджменту.</w:t>
      </w:r>
    </w:p>
    <w:p>
      <w:pPr>
        <w:spacing w:after="140" w:line="340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color w:val="1A1A1A"/>
          <w:sz w:val="24"/>
          <w:szCs w:val="24"/>
        </w:rPr>
        <w:t xml:space="preserve">3. Практические результаты.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1A1A1A"/>
          <w:sz w:val="24"/>
          <w:szCs w:val="24"/>
        </w:rPr>
        <w:t xml:space="preserve">По итогам каждого модуля участник получает готовые к внедрению документы: ИБ-стратегию, чек-листы compliance, политику безопасности ИИ, модель управления доступом, антикризисный план, обоснование бюджета ИБ для руководства.</w:t>
      </w:r>
    </w:p>
    <w:p>
      <w:pPr>
        <w:spacing w:after="140" w:line="340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color w:val="1A1A1A"/>
          <w:sz w:val="24"/>
          <w:szCs w:val="24"/>
        </w:rPr>
        <w:t xml:space="preserve">4. Экономическая эффективность.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1A1A1A"/>
          <w:sz w:val="24"/>
          <w:szCs w:val="24"/>
        </w:rPr>
        <w:t xml:space="preserve">Стоимость программы (200 000 руб./год) составляет менее 4% от среднего ущерба одной утечки данных (5,5 млн руб.) и 0,04% от максимального оборотного штрафа. Расходы на обучение уменьшают налогооблагаемую базу по налогу на прибыль.</w:t>
      </w:r>
    </w:p>
    <w:p>
      <w:pPr>
        <w:spacing w:after="100"/>
      </w:pPr>
    </w:p>
    <w:p>
      <w:pPr>
        <w:spacing w:after="140" w:line="340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color w:val="1A1A1A"/>
          <w:sz w:val="24"/>
          <w:szCs w:val="24"/>
        </w:rPr>
        <w:t xml:space="preserve">Параметры программы:</w:t>
      </w:r>
    </w:p>
    <w:p>
      <w:pPr>
        <w:pStyle w:val="ListParagraph"/>
        <w:numPr>
          <w:ilvl w:val="0"/>
          <w:numId w:val="2"/>
        </w:numPr>
        <w:spacing w:after="60" w:line="320"/>
      </w:pPr>
      <w:r>
        <w:rPr>
          <w:rFonts w:ascii="Times New Roman" w:cs="Times New Roman" w:eastAsia="Times New Roman" w:hAnsi="Times New Roman"/>
          <w:color w:val="1A1A1A"/>
          <w:sz w:val="24"/>
          <w:szCs w:val="24"/>
        </w:rPr>
        <w:t xml:space="preserve">Длительность: 8 месяцев (март — ноябрь 2026)</w:t>
      </w:r>
    </w:p>
    <w:p>
      <w:pPr>
        <w:pStyle w:val="ListParagraph"/>
        <w:numPr>
          <w:ilvl w:val="0"/>
          <w:numId w:val="2"/>
        </w:numPr>
        <w:spacing w:after="60" w:line="320"/>
      </w:pPr>
      <w:r>
        <w:rPr>
          <w:rFonts w:ascii="Times New Roman" w:cs="Times New Roman" w:eastAsia="Times New Roman" w:hAnsi="Times New Roman"/>
          <w:color w:val="1A1A1A"/>
          <w:sz w:val="24"/>
          <w:szCs w:val="24"/>
        </w:rPr>
        <w:t xml:space="preserve">Объём: 128 академических часов (8 модулей по 16 ак.ч.)</w:t>
      </w:r>
    </w:p>
    <w:p>
      <w:pPr>
        <w:pStyle w:val="ListParagraph"/>
        <w:numPr>
          <w:ilvl w:val="0"/>
          <w:numId w:val="2"/>
        </w:numPr>
        <w:spacing w:after="60" w:line="320"/>
      </w:pPr>
      <w:r>
        <w:rPr>
          <w:rFonts w:ascii="Times New Roman" w:cs="Times New Roman" w:eastAsia="Times New Roman" w:hAnsi="Times New Roman"/>
          <w:color w:val="1A1A1A"/>
          <w:sz w:val="24"/>
          <w:szCs w:val="24"/>
        </w:rPr>
        <w:t xml:space="preserve">Формат: онлайн-вебинары, 4 дня в месяц без отрыва от работы</w:t>
      </w:r>
    </w:p>
    <w:p>
      <w:pPr>
        <w:pStyle w:val="ListParagraph"/>
        <w:numPr>
          <w:ilvl w:val="0"/>
          <w:numId w:val="2"/>
        </w:numPr>
        <w:spacing w:after="60" w:line="320"/>
      </w:pPr>
      <w:r>
        <w:rPr>
          <w:rFonts w:ascii="Times New Roman" w:cs="Times New Roman" w:eastAsia="Times New Roman" w:hAnsi="Times New Roman"/>
          <w:color w:val="1A1A1A"/>
          <w:sz w:val="24"/>
          <w:szCs w:val="24"/>
        </w:rPr>
        <w:t xml:space="preserve">Документ: удостоверение установленного образца за каждый модуль</w:t>
      </w:r>
    </w:p>
    <w:p>
      <w:pPr>
        <w:pStyle w:val="ListParagraph"/>
        <w:numPr>
          <w:ilvl w:val="0"/>
          <w:numId w:val="2"/>
        </w:numPr>
        <w:spacing w:after="60" w:line="320"/>
      </w:pPr>
      <w:r>
        <w:rPr>
          <w:rFonts w:ascii="Times New Roman" w:cs="Times New Roman" w:eastAsia="Times New Roman" w:hAnsi="Times New Roman"/>
          <w:color w:val="1A1A1A"/>
          <w:sz w:val="24"/>
          <w:szCs w:val="24"/>
        </w:rPr>
        <w:t xml:space="preserve">Стоимость: 200 000 руб./год (тариф «Профессионал», 2 участника)</w:t>
      </w:r>
    </w:p>
    <w:p>
      <w:pPr>
        <w:spacing w:after="100"/>
      </w:pPr>
    </w:p>
    <w:p>
      <w:pPr>
        <w:spacing w:after="140" w:line="340"/>
        <w:ind w:firstLine="72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1A1A1A"/>
          <w:sz w:val="24"/>
          <w:szCs w:val="24"/>
        </w:rPr>
        <w:t xml:space="preserve">Оплата от юридического лица с предоставлением полного пакета закрывающих документов (счёт, акт, НДС 5%).</w:t>
      </w:r>
    </w:p>
    <w:p>
      <w:pPr>
        <w:spacing w:after="140" w:line="340"/>
        <w:ind w:firstLine="72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1A1A1A"/>
          <w:sz w:val="24"/>
          <w:szCs w:val="24"/>
        </w:rPr>
        <w:t xml:space="preserve">Прошу согласовать направление на обучение 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color w:val="999999"/>
          <w:sz w:val="24"/>
          <w:szCs w:val="24"/>
        </w:rPr>
        <w:t xml:space="preserve">[ФИО сотрудника, должность]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1A1A1A"/>
          <w:sz w:val="24"/>
          <w:szCs w:val="24"/>
        </w:rPr>
        <w:t xml:space="preserve"> и выделить финансирование в размере 200 000 (двести тысяч) рублей.</w:t>
      </w:r>
    </w:p>
    <w:p>
      <w:pPr>
        <w:spacing w:after="300"/>
      </w:pP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13"/>
        <w:gridCol w:w="4513"/>
      </w:tblGrid>
      <w:tr>
        <w:tc>
          <w:tcPr>
            <w:tcW w:type="dxa" w:w="45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rFonts w:ascii="Times New Roman" w:cs="Times New Roman" w:eastAsia="Times New Roman" w:hAnsi="Times New Roman"/>
                <w:i/>
                <w:iCs/>
                <w:color w:val="999999"/>
                <w:sz w:val="24"/>
                <w:szCs w:val="24"/>
              </w:rPr>
              <w:t xml:space="preserve">[Должность</w:t>
            </w:r>
          </w:p>
          <w:p>
            <w:pPr>
              <w:spacing w:after="60"/>
            </w:pPr>
            <w:r>
              <w:rPr>
                <w:rFonts w:ascii="Times New Roman" w:cs="Times New Roman" w:eastAsia="Times New Roman" w:hAnsi="Times New Roman"/>
                <w:i/>
                <w:iCs/>
                <w:color w:val="999999"/>
                <w:sz w:val="24"/>
                <w:szCs w:val="24"/>
              </w:rPr>
              <w:t xml:space="preserve">[ФИО]</w:t>
            </w:r>
          </w:p>
        </w:tc>
        <w:tc>
          <w:tcPr>
            <w:tcW w:type="dxa" w:w="45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  <w:jc w:val="right"/>
            </w:pPr>
            <w:r>
              <w:rPr>
                <w:rFonts w:ascii="Times New Roman" w:cs="Times New Roman" w:eastAsia="Times New Roman" w:hAnsi="Times New Roman"/>
                <w:color w:val="1A1A1A"/>
                <w:sz w:val="24"/>
                <w:szCs w:val="24"/>
              </w:rPr>
              <w:t xml:space="preserve">_______________</w:t>
            </w:r>
          </w:p>
          <w:p>
            <w:pPr>
              <w:spacing w:after="60"/>
              <w:jc w:val="right"/>
            </w:pPr>
            <w:r>
              <w:rPr>
                <w:rFonts w:ascii="Times New Roman" w:cs="Times New Roman" w:eastAsia="Times New Roman" w:hAnsi="Times New Roman"/>
                <w:color w:val="999999"/>
                <w:sz w:val="20"/>
                <w:szCs w:val="20"/>
              </w:rPr>
              <w:t xml:space="preserve">(подпись)</w:t>
            </w:r>
          </w:p>
        </w:tc>
      </w:tr>
    </w:tbl>
    <w:p>
      <w:pPr>
        <w:spacing w:after="400"/>
      </w:pPr>
    </w:p>
    <w:p>
      <w:pPr>
        <w:pBdr>
          <w:top w:val="single" w:color="61539A" w:sz="4" w:space="1"/>
        </w:pBdr>
        <w:spacing w:before="200" w:after="100"/>
      </w:pPr>
    </w:p>
    <w:p>
      <w:pPr>
        <w:spacing w:after="60"/>
      </w:pPr>
      <w:r>
        <w:rPr>
          <w:rFonts w:ascii="Times New Roman" w:cs="Times New Roman" w:eastAsia="Times New Roman" w:hAnsi="Times New Roman"/>
          <w:color w:val="999999"/>
          <w:sz w:val="20"/>
          <w:szCs w:val="20"/>
        </w:rPr>
        <w:t xml:space="preserve">Контакты организатора для уточнения деталей:</w:t>
      </w:r>
    </w:p>
    <w:p>
      <w:pPr>
        <w:spacing w:after="40"/>
      </w:pPr>
      <w:r>
        <w:rPr>
          <w:rFonts w:ascii="Times New Roman" w:cs="Times New Roman" w:eastAsia="Times New Roman" w:hAnsi="Times New Roman"/>
          <w:color w:val="999999"/>
          <w:sz w:val="20"/>
          <w:szCs w:val="20"/>
        </w:rPr>
        <w:t xml:space="preserve">Код ИБ АКАДЕМИЯ  |  academy@codeib.ru  |  8 (800) 511-07-26  |  codeib.academy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2026-02-27T05:04:26.370Z</dcterms:created>
  <dcterms:modified xsi:type="dcterms:W3CDTF">2026-02-27T05:04:26.371Z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